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4AAAF" w14:textId="6007C55F" w:rsidR="00F11E71" w:rsidRDefault="00B20CD1" w:rsidP="00BE4CCF">
      <w:pPr>
        <w:jc w:val="center"/>
        <w:rPr>
          <w:rFonts w:ascii="Arial" w:hAnsi="Arial" w:cs="Arial"/>
          <w:sz w:val="32"/>
          <w:szCs w:val="32"/>
        </w:rPr>
      </w:pPr>
      <w:r w:rsidRPr="008F73B9">
        <w:rPr>
          <w:rFonts w:ascii="Arial" w:hAnsi="Arial" w:cs="Arial"/>
          <w:sz w:val="32"/>
          <w:szCs w:val="32"/>
        </w:rPr>
        <w:t>Skeletal Muscle Contraction Process</w:t>
      </w:r>
    </w:p>
    <w:p w14:paraId="252BA421" w14:textId="00639745" w:rsidR="00BE4CCF" w:rsidRDefault="00BE4CCF" w:rsidP="008F73B9">
      <w:pPr>
        <w:spacing w:after="36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Sequence of Events</w:t>
      </w:r>
    </w:p>
    <w:p w14:paraId="6FE74189" w14:textId="1E81C79A" w:rsidR="008F73B9" w:rsidRDefault="00B20CD1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 xml:space="preserve">The primary motor cortex </w:t>
      </w:r>
      <w:r w:rsidR="001442A7" w:rsidRPr="008F73B9">
        <w:rPr>
          <w:rFonts w:ascii="Arial" w:hAnsi="Arial" w:cs="Arial"/>
          <w:sz w:val="28"/>
          <w:szCs w:val="28"/>
        </w:rPr>
        <w:t>(Brodman</w:t>
      </w:r>
      <w:r w:rsidR="00053C63" w:rsidRPr="008F73B9">
        <w:rPr>
          <w:rFonts w:ascii="Arial" w:hAnsi="Arial" w:cs="Arial"/>
          <w:sz w:val="28"/>
          <w:szCs w:val="28"/>
        </w:rPr>
        <w:t>n</w:t>
      </w:r>
      <w:r w:rsidR="001442A7" w:rsidRPr="008F73B9">
        <w:rPr>
          <w:rFonts w:ascii="Arial" w:hAnsi="Arial" w:cs="Arial"/>
          <w:sz w:val="28"/>
          <w:szCs w:val="28"/>
        </w:rPr>
        <w:t xml:space="preserve">’s area 4) </w:t>
      </w:r>
      <w:r w:rsidRPr="008F73B9">
        <w:rPr>
          <w:rFonts w:ascii="Arial" w:hAnsi="Arial" w:cs="Arial"/>
          <w:sz w:val="28"/>
          <w:szCs w:val="28"/>
        </w:rPr>
        <w:t>initiates the sequence of events</w:t>
      </w:r>
      <w:r w:rsidR="00F1037B">
        <w:rPr>
          <w:rFonts w:ascii="Arial" w:hAnsi="Arial" w:cs="Arial"/>
          <w:sz w:val="28"/>
          <w:szCs w:val="28"/>
        </w:rPr>
        <w:t xml:space="preserve"> in the contraction of skeletal muscle</w:t>
      </w:r>
      <w:r w:rsidR="003E56BA">
        <w:rPr>
          <w:rFonts w:ascii="Arial" w:hAnsi="Arial" w:cs="Arial"/>
          <w:sz w:val="28"/>
          <w:szCs w:val="28"/>
        </w:rPr>
        <w:t>—the basal ganglia and cerebellum are also involved.</w:t>
      </w:r>
    </w:p>
    <w:p w14:paraId="1E43DC58" w14:textId="2DA9B1F5" w:rsidR="00B20CD1" w:rsidRPr="008F73B9" w:rsidRDefault="00B20CD1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 xml:space="preserve">Action potentials propagate along axons of </w:t>
      </w:r>
      <w:r w:rsidR="008F73B9">
        <w:rPr>
          <w:rFonts w:ascii="Arial" w:hAnsi="Arial" w:cs="Arial"/>
          <w:sz w:val="28"/>
          <w:szCs w:val="28"/>
        </w:rPr>
        <w:t xml:space="preserve">the myelinated </w:t>
      </w:r>
      <w:r w:rsidR="003E56BA">
        <w:rPr>
          <w:rFonts w:ascii="Arial" w:hAnsi="Arial" w:cs="Arial"/>
          <w:sz w:val="28"/>
          <w:szCs w:val="28"/>
        </w:rPr>
        <w:t>cortical (</w:t>
      </w:r>
      <w:r w:rsidRPr="008F73B9">
        <w:rPr>
          <w:rFonts w:ascii="Arial" w:hAnsi="Arial" w:cs="Arial"/>
          <w:sz w:val="28"/>
          <w:szCs w:val="28"/>
        </w:rPr>
        <w:t>pyramidal</w:t>
      </w:r>
      <w:r w:rsidR="003E56BA">
        <w:rPr>
          <w:rFonts w:ascii="Arial" w:hAnsi="Arial" w:cs="Arial"/>
          <w:sz w:val="28"/>
          <w:szCs w:val="28"/>
        </w:rPr>
        <w:t>)</w:t>
      </w:r>
      <w:r w:rsidRPr="008F73B9">
        <w:rPr>
          <w:rFonts w:ascii="Arial" w:hAnsi="Arial" w:cs="Arial"/>
          <w:sz w:val="28"/>
          <w:szCs w:val="28"/>
        </w:rPr>
        <w:t xml:space="preserve"> motor neurons</w:t>
      </w:r>
      <w:r w:rsidR="00A3281C" w:rsidRPr="008F73B9">
        <w:rPr>
          <w:rFonts w:ascii="Arial" w:hAnsi="Arial" w:cs="Arial"/>
          <w:sz w:val="28"/>
          <w:szCs w:val="28"/>
        </w:rPr>
        <w:t xml:space="preserve"> by saltatory conduction</w:t>
      </w:r>
      <w:r w:rsidRPr="008F73B9">
        <w:rPr>
          <w:rFonts w:ascii="Arial" w:hAnsi="Arial" w:cs="Arial"/>
          <w:sz w:val="28"/>
          <w:szCs w:val="28"/>
        </w:rPr>
        <w:t>.</w:t>
      </w:r>
    </w:p>
    <w:p w14:paraId="71CEADD4" w14:textId="51C13B7B" w:rsidR="00B20CD1" w:rsidRPr="008F73B9" w:rsidRDefault="00B20CD1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 xml:space="preserve">Acetylcholine (ACh) is released at the synapses with </w:t>
      </w:r>
      <w:r w:rsidR="001442A7" w:rsidRPr="008F73B9">
        <w:rPr>
          <w:rFonts w:ascii="Arial" w:hAnsi="Arial" w:cs="Arial"/>
          <w:sz w:val="28"/>
          <w:szCs w:val="28"/>
        </w:rPr>
        <w:t xml:space="preserve">the </w:t>
      </w:r>
      <w:r w:rsidRPr="008F73B9">
        <w:rPr>
          <w:rFonts w:ascii="Arial" w:hAnsi="Arial" w:cs="Arial"/>
          <w:sz w:val="28"/>
          <w:szCs w:val="28"/>
        </w:rPr>
        <w:t>spinal motor neurons in the spinal cord.</w:t>
      </w:r>
    </w:p>
    <w:p w14:paraId="383EDB84" w14:textId="7D67CE36" w:rsidR="00B20CD1" w:rsidRPr="008F73B9" w:rsidRDefault="00B20CD1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 xml:space="preserve">Action potentials propagate along the axons of </w:t>
      </w:r>
      <w:r w:rsidR="001442A7" w:rsidRPr="008F73B9">
        <w:rPr>
          <w:rFonts w:ascii="Arial" w:hAnsi="Arial" w:cs="Arial"/>
          <w:sz w:val="28"/>
          <w:szCs w:val="28"/>
        </w:rPr>
        <w:t xml:space="preserve">the </w:t>
      </w:r>
      <w:r w:rsidR="008F73B9">
        <w:rPr>
          <w:rFonts w:ascii="Arial" w:hAnsi="Arial" w:cs="Arial"/>
          <w:sz w:val="28"/>
          <w:szCs w:val="28"/>
        </w:rPr>
        <w:t xml:space="preserve">myelinated </w:t>
      </w:r>
      <w:r w:rsidRPr="008F73B9">
        <w:rPr>
          <w:rFonts w:ascii="Arial" w:hAnsi="Arial" w:cs="Arial"/>
          <w:sz w:val="28"/>
          <w:szCs w:val="28"/>
        </w:rPr>
        <w:t>spinal motor neurons</w:t>
      </w:r>
      <w:r w:rsidR="00A3281C" w:rsidRPr="008F73B9">
        <w:rPr>
          <w:rFonts w:ascii="Arial" w:hAnsi="Arial" w:cs="Arial"/>
          <w:sz w:val="28"/>
          <w:szCs w:val="28"/>
        </w:rPr>
        <w:t xml:space="preserve"> by saltatory conduction</w:t>
      </w:r>
      <w:r w:rsidRPr="008F73B9">
        <w:rPr>
          <w:rFonts w:ascii="Arial" w:hAnsi="Arial" w:cs="Arial"/>
          <w:sz w:val="28"/>
          <w:szCs w:val="28"/>
        </w:rPr>
        <w:t>.</w:t>
      </w:r>
    </w:p>
    <w:p w14:paraId="354C0D5E" w14:textId="621CE15D" w:rsidR="00B20CD1" w:rsidRDefault="00B20CD1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>Acetylcholine is released at the neuromuscular junction</w:t>
      </w:r>
      <w:r w:rsidR="00A3281C" w:rsidRPr="008F73B9">
        <w:rPr>
          <w:rFonts w:ascii="Arial" w:hAnsi="Arial" w:cs="Arial"/>
          <w:sz w:val="28"/>
          <w:szCs w:val="28"/>
        </w:rPr>
        <w:t xml:space="preserve"> for </w:t>
      </w:r>
      <w:r w:rsidR="008F73B9">
        <w:rPr>
          <w:rFonts w:ascii="Arial" w:hAnsi="Arial" w:cs="Arial"/>
          <w:sz w:val="28"/>
          <w:szCs w:val="28"/>
        </w:rPr>
        <w:t>each</w:t>
      </w:r>
      <w:r w:rsidR="00A3281C" w:rsidRPr="008F73B9">
        <w:rPr>
          <w:rFonts w:ascii="Arial" w:hAnsi="Arial" w:cs="Arial"/>
          <w:sz w:val="28"/>
          <w:szCs w:val="28"/>
        </w:rPr>
        <w:t xml:space="preserve"> motor unit</w:t>
      </w:r>
      <w:r w:rsidRPr="008F73B9">
        <w:rPr>
          <w:rFonts w:ascii="Arial" w:hAnsi="Arial" w:cs="Arial"/>
          <w:sz w:val="28"/>
          <w:szCs w:val="28"/>
        </w:rPr>
        <w:t>.</w:t>
      </w:r>
    </w:p>
    <w:p w14:paraId="08FE9311" w14:textId="212740FA" w:rsidR="003E56BA" w:rsidRPr="008F73B9" w:rsidRDefault="003E56BA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Acetylcholine binds receptors in the motor end plate to generate action potentials.</w:t>
      </w:r>
    </w:p>
    <w:p w14:paraId="63519BC3" w14:textId="75E08C39" w:rsidR="00B20CD1" w:rsidRPr="008F73B9" w:rsidRDefault="00B20CD1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 xml:space="preserve">Muscle action potentials propagate along the sarcolemma and </w:t>
      </w:r>
      <w:r w:rsidR="005108DC" w:rsidRPr="008F73B9">
        <w:rPr>
          <w:rFonts w:ascii="Arial" w:hAnsi="Arial" w:cs="Arial"/>
          <w:sz w:val="28"/>
          <w:szCs w:val="28"/>
        </w:rPr>
        <w:t>into the T tubules</w:t>
      </w:r>
      <w:r w:rsidR="006932E4" w:rsidRPr="008F73B9">
        <w:rPr>
          <w:rFonts w:ascii="Arial" w:hAnsi="Arial" w:cs="Arial"/>
          <w:sz w:val="28"/>
          <w:szCs w:val="28"/>
        </w:rPr>
        <w:t xml:space="preserve"> of the muscle fiber</w:t>
      </w:r>
      <w:r w:rsidR="005108DC" w:rsidRPr="008F73B9">
        <w:rPr>
          <w:rFonts w:ascii="Arial" w:hAnsi="Arial" w:cs="Arial"/>
          <w:sz w:val="28"/>
          <w:szCs w:val="28"/>
        </w:rPr>
        <w:t>.</w:t>
      </w:r>
    </w:p>
    <w:p w14:paraId="06539DC1" w14:textId="5950F843" w:rsidR="005108DC" w:rsidRPr="008F73B9" w:rsidRDefault="00A3281C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>C</w:t>
      </w:r>
      <w:r w:rsidR="005108DC" w:rsidRPr="008F73B9">
        <w:rPr>
          <w:rFonts w:ascii="Arial" w:hAnsi="Arial" w:cs="Arial"/>
          <w:sz w:val="28"/>
          <w:szCs w:val="28"/>
        </w:rPr>
        <w:t>alcium ions are released from the sarcoplasmic reticulum</w:t>
      </w:r>
      <w:r w:rsidRPr="008F73B9">
        <w:rPr>
          <w:rFonts w:ascii="Arial" w:hAnsi="Arial" w:cs="Arial"/>
          <w:sz w:val="28"/>
          <w:szCs w:val="28"/>
        </w:rPr>
        <w:t xml:space="preserve"> in response to the muscle action potentials.</w:t>
      </w:r>
    </w:p>
    <w:p w14:paraId="588EFAD8" w14:textId="6201FBD0" w:rsidR="005108DC" w:rsidRPr="008F73B9" w:rsidRDefault="003E56BA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</w:t>
      </w:r>
      <w:r w:rsidR="005108DC" w:rsidRPr="008F73B9">
        <w:rPr>
          <w:rFonts w:ascii="Arial" w:hAnsi="Arial" w:cs="Arial"/>
          <w:sz w:val="28"/>
          <w:szCs w:val="28"/>
        </w:rPr>
        <w:t xml:space="preserve">alcium ions bind to </w:t>
      </w:r>
      <w:r w:rsidR="006932E4" w:rsidRPr="008F73B9">
        <w:rPr>
          <w:rFonts w:ascii="Arial" w:hAnsi="Arial" w:cs="Arial"/>
          <w:sz w:val="28"/>
          <w:szCs w:val="28"/>
        </w:rPr>
        <w:t xml:space="preserve">the regulatory molecule </w:t>
      </w:r>
      <w:r w:rsidR="005108DC" w:rsidRPr="008F73B9">
        <w:rPr>
          <w:rFonts w:ascii="Arial" w:hAnsi="Arial" w:cs="Arial"/>
          <w:sz w:val="28"/>
          <w:szCs w:val="28"/>
        </w:rPr>
        <w:t>troponin</w:t>
      </w:r>
      <w:r w:rsidR="00A3281C" w:rsidRPr="008F73B9">
        <w:rPr>
          <w:rFonts w:ascii="Arial" w:hAnsi="Arial" w:cs="Arial"/>
          <w:sz w:val="28"/>
          <w:szCs w:val="28"/>
        </w:rPr>
        <w:t xml:space="preserve"> in the sarco</w:t>
      </w:r>
      <w:r w:rsidR="008F73B9">
        <w:rPr>
          <w:rFonts w:ascii="Arial" w:hAnsi="Arial" w:cs="Arial"/>
          <w:sz w:val="28"/>
          <w:szCs w:val="28"/>
        </w:rPr>
        <w:t>-</w:t>
      </w:r>
      <w:r w:rsidR="00A3281C" w:rsidRPr="008F73B9">
        <w:rPr>
          <w:rFonts w:ascii="Arial" w:hAnsi="Arial" w:cs="Arial"/>
          <w:sz w:val="28"/>
          <w:szCs w:val="28"/>
        </w:rPr>
        <w:t>plasm</w:t>
      </w:r>
      <w:r w:rsidR="005108DC" w:rsidRPr="008F73B9">
        <w:rPr>
          <w:rFonts w:ascii="Arial" w:hAnsi="Arial" w:cs="Arial"/>
          <w:sz w:val="28"/>
          <w:szCs w:val="28"/>
        </w:rPr>
        <w:t>.</w:t>
      </w:r>
    </w:p>
    <w:p w14:paraId="68D83113" w14:textId="2A750918" w:rsidR="005108DC" w:rsidRPr="008F73B9" w:rsidRDefault="005108DC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>Troponin displaces tropomyosin, the second regulatory molecule, so that the myosin binding sites on the thin filaments (actin) are expose</w:t>
      </w:r>
      <w:r w:rsidR="001442A7" w:rsidRPr="008F73B9">
        <w:rPr>
          <w:rFonts w:ascii="Arial" w:hAnsi="Arial" w:cs="Arial"/>
          <w:sz w:val="28"/>
          <w:szCs w:val="28"/>
        </w:rPr>
        <w:t>d</w:t>
      </w:r>
      <w:r w:rsidRPr="008F73B9">
        <w:rPr>
          <w:rFonts w:ascii="Arial" w:hAnsi="Arial" w:cs="Arial"/>
          <w:sz w:val="28"/>
          <w:szCs w:val="28"/>
        </w:rPr>
        <w:t>.</w:t>
      </w:r>
    </w:p>
    <w:p w14:paraId="5E573538" w14:textId="65BBD6AF" w:rsidR="00513EA8" w:rsidRPr="008F73B9" w:rsidRDefault="008F73B9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Using</w:t>
      </w:r>
      <w:r w:rsidR="00513EA8" w:rsidRPr="008F73B9">
        <w:rPr>
          <w:rFonts w:ascii="Arial" w:hAnsi="Arial" w:cs="Arial"/>
          <w:sz w:val="28"/>
          <w:szCs w:val="28"/>
        </w:rPr>
        <w:t xml:space="preserve"> </w:t>
      </w:r>
      <w:r w:rsidR="006932E4" w:rsidRPr="008F73B9">
        <w:rPr>
          <w:rFonts w:ascii="Arial" w:hAnsi="Arial" w:cs="Arial"/>
          <w:sz w:val="28"/>
          <w:szCs w:val="28"/>
        </w:rPr>
        <w:t xml:space="preserve">the </w:t>
      </w:r>
      <w:r w:rsidR="00513EA8" w:rsidRPr="008F73B9">
        <w:rPr>
          <w:rFonts w:ascii="Arial" w:hAnsi="Arial" w:cs="Arial"/>
          <w:sz w:val="28"/>
          <w:szCs w:val="28"/>
        </w:rPr>
        <w:t xml:space="preserve">chemical energy </w:t>
      </w:r>
      <w:r w:rsidR="001442A7" w:rsidRPr="008F73B9">
        <w:rPr>
          <w:rFonts w:ascii="Arial" w:hAnsi="Arial" w:cs="Arial"/>
          <w:sz w:val="28"/>
          <w:szCs w:val="28"/>
        </w:rPr>
        <w:t>from</w:t>
      </w:r>
      <w:r w:rsidR="00513EA8" w:rsidRPr="008F73B9">
        <w:rPr>
          <w:rFonts w:ascii="Arial" w:hAnsi="Arial" w:cs="Arial"/>
          <w:sz w:val="28"/>
          <w:szCs w:val="28"/>
        </w:rPr>
        <w:t xml:space="preserve"> ATP, the myosin heads on the thick filaments attach to the myosin binding sites on the thin filaments.</w:t>
      </w:r>
    </w:p>
    <w:p w14:paraId="79BAD278" w14:textId="030F1223" w:rsidR="00513EA8" w:rsidRPr="008F73B9" w:rsidRDefault="00513EA8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>Crossbridges are formed</w:t>
      </w:r>
      <w:r w:rsidR="008F73B9">
        <w:rPr>
          <w:rFonts w:ascii="Arial" w:hAnsi="Arial" w:cs="Arial"/>
          <w:sz w:val="28"/>
          <w:szCs w:val="28"/>
        </w:rPr>
        <w:t xml:space="preserve"> between the thick filaments and thin filaments</w:t>
      </w:r>
      <w:r w:rsidRPr="008F73B9">
        <w:rPr>
          <w:rFonts w:ascii="Arial" w:hAnsi="Arial" w:cs="Arial"/>
          <w:sz w:val="28"/>
          <w:szCs w:val="28"/>
        </w:rPr>
        <w:t>.</w:t>
      </w:r>
    </w:p>
    <w:p w14:paraId="306EC6C1" w14:textId="2708AEE5" w:rsidR="006932E4" w:rsidRPr="008F73B9" w:rsidRDefault="00F72FFC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>The c</w:t>
      </w:r>
      <w:r w:rsidR="00513EA8" w:rsidRPr="008F73B9">
        <w:rPr>
          <w:rFonts w:ascii="Arial" w:hAnsi="Arial" w:cs="Arial"/>
          <w:sz w:val="28"/>
          <w:szCs w:val="28"/>
        </w:rPr>
        <w:t>rossbridges rotate and the thin filaments slide past the thick filaments</w:t>
      </w:r>
      <w:r w:rsidR="006932E4" w:rsidRPr="008F73B9">
        <w:rPr>
          <w:rFonts w:ascii="Arial" w:hAnsi="Arial" w:cs="Arial"/>
          <w:sz w:val="28"/>
          <w:szCs w:val="28"/>
        </w:rPr>
        <w:t>.</w:t>
      </w:r>
    </w:p>
    <w:p w14:paraId="37ACF830" w14:textId="01E1B913" w:rsidR="00513EA8" w:rsidRPr="008F73B9" w:rsidRDefault="006932E4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lastRenderedPageBreak/>
        <w:t>Crossbridges continue to form</w:t>
      </w:r>
      <w:r w:rsidR="00053C63" w:rsidRPr="008F73B9">
        <w:rPr>
          <w:rFonts w:ascii="Arial" w:hAnsi="Arial" w:cs="Arial"/>
          <w:sz w:val="28"/>
          <w:szCs w:val="28"/>
        </w:rPr>
        <w:t xml:space="preserve">, </w:t>
      </w:r>
      <w:r w:rsidRPr="008F73B9">
        <w:rPr>
          <w:rFonts w:ascii="Arial" w:hAnsi="Arial" w:cs="Arial"/>
          <w:sz w:val="28"/>
          <w:szCs w:val="28"/>
        </w:rPr>
        <w:t>rotate</w:t>
      </w:r>
      <w:r w:rsidR="00053C63" w:rsidRPr="008F73B9">
        <w:rPr>
          <w:rFonts w:ascii="Arial" w:hAnsi="Arial" w:cs="Arial"/>
          <w:sz w:val="28"/>
          <w:szCs w:val="28"/>
        </w:rPr>
        <w:t>, and detach</w:t>
      </w:r>
      <w:r w:rsidRPr="008F73B9">
        <w:rPr>
          <w:rFonts w:ascii="Arial" w:hAnsi="Arial" w:cs="Arial"/>
          <w:sz w:val="28"/>
          <w:szCs w:val="28"/>
        </w:rPr>
        <w:t xml:space="preserve"> until the thin fila</w:t>
      </w:r>
      <w:r w:rsidR="008F73B9">
        <w:rPr>
          <w:rFonts w:ascii="Arial" w:hAnsi="Arial" w:cs="Arial"/>
          <w:sz w:val="28"/>
          <w:szCs w:val="28"/>
        </w:rPr>
        <w:t>-</w:t>
      </w:r>
      <w:r w:rsidRPr="008F73B9">
        <w:rPr>
          <w:rFonts w:ascii="Arial" w:hAnsi="Arial" w:cs="Arial"/>
          <w:sz w:val="28"/>
          <w:szCs w:val="28"/>
        </w:rPr>
        <w:t>ments meet at the M line</w:t>
      </w:r>
      <w:r w:rsidR="001442A7" w:rsidRPr="008F73B9">
        <w:rPr>
          <w:rFonts w:ascii="Arial" w:hAnsi="Arial" w:cs="Arial"/>
          <w:sz w:val="28"/>
          <w:szCs w:val="28"/>
        </w:rPr>
        <w:t xml:space="preserve"> (middle of the sarcomere)</w:t>
      </w:r>
      <w:r w:rsidR="00513EA8" w:rsidRPr="008F73B9">
        <w:rPr>
          <w:rFonts w:ascii="Arial" w:hAnsi="Arial" w:cs="Arial"/>
          <w:sz w:val="28"/>
          <w:szCs w:val="28"/>
        </w:rPr>
        <w:t>.</w:t>
      </w:r>
    </w:p>
    <w:p w14:paraId="07963AA9" w14:textId="61E0314D" w:rsidR="00513EA8" w:rsidRPr="008F73B9" w:rsidRDefault="00513EA8" w:rsidP="00BE4CCF">
      <w:pPr>
        <w:pStyle w:val="ListParagraph"/>
        <w:numPr>
          <w:ilvl w:val="0"/>
          <w:numId w:val="1"/>
        </w:numPr>
        <w:spacing w:after="240"/>
        <w:ind w:left="547" w:hanging="547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>The</w:t>
      </w:r>
      <w:r w:rsidR="00BE4CCF">
        <w:rPr>
          <w:rFonts w:ascii="Arial" w:hAnsi="Arial" w:cs="Arial"/>
          <w:sz w:val="28"/>
          <w:szCs w:val="28"/>
        </w:rPr>
        <w:t xml:space="preserve"> end plates (</w:t>
      </w:r>
      <w:r w:rsidR="006932E4" w:rsidRPr="008F73B9">
        <w:rPr>
          <w:rFonts w:ascii="Arial" w:hAnsi="Arial" w:cs="Arial"/>
          <w:sz w:val="28"/>
          <w:szCs w:val="28"/>
        </w:rPr>
        <w:t>Z</w:t>
      </w:r>
      <w:r w:rsidRPr="008F73B9">
        <w:rPr>
          <w:rFonts w:ascii="Arial" w:hAnsi="Arial" w:cs="Arial"/>
          <w:sz w:val="28"/>
          <w:szCs w:val="28"/>
        </w:rPr>
        <w:t xml:space="preserve"> disks) of </w:t>
      </w:r>
      <w:r w:rsidR="00A3281C" w:rsidRPr="008F73B9">
        <w:rPr>
          <w:rFonts w:ascii="Arial" w:hAnsi="Arial" w:cs="Arial"/>
          <w:sz w:val="28"/>
          <w:szCs w:val="28"/>
        </w:rPr>
        <w:t>the</w:t>
      </w:r>
      <w:r w:rsidRPr="008F73B9">
        <w:rPr>
          <w:rFonts w:ascii="Arial" w:hAnsi="Arial" w:cs="Arial"/>
          <w:sz w:val="28"/>
          <w:szCs w:val="28"/>
        </w:rPr>
        <w:t xml:space="preserve"> sarcomere draw closer to each other</w:t>
      </w:r>
      <w:r w:rsidR="00A3281C" w:rsidRPr="008F73B9">
        <w:rPr>
          <w:rFonts w:ascii="Arial" w:hAnsi="Arial" w:cs="Arial"/>
          <w:sz w:val="28"/>
          <w:szCs w:val="28"/>
        </w:rPr>
        <w:t xml:space="preserve"> to</w:t>
      </w:r>
      <w:r w:rsidRPr="008F73B9">
        <w:rPr>
          <w:rFonts w:ascii="Arial" w:hAnsi="Arial" w:cs="Arial"/>
          <w:sz w:val="28"/>
          <w:szCs w:val="28"/>
        </w:rPr>
        <w:t xml:space="preserve"> shorten the sarcomere.</w:t>
      </w:r>
    </w:p>
    <w:p w14:paraId="27A6B18C" w14:textId="00B666F4" w:rsidR="00513EA8" w:rsidRPr="008F73B9" w:rsidRDefault="00513EA8" w:rsidP="00BE4CCF">
      <w:pPr>
        <w:pStyle w:val="ListParagraph"/>
        <w:numPr>
          <w:ilvl w:val="0"/>
          <w:numId w:val="1"/>
        </w:numPr>
        <w:spacing w:after="240"/>
        <w:ind w:left="540" w:hanging="540"/>
        <w:contextualSpacing w:val="0"/>
        <w:jc w:val="both"/>
        <w:rPr>
          <w:rFonts w:ascii="Arial" w:hAnsi="Arial" w:cs="Arial"/>
          <w:sz w:val="28"/>
          <w:szCs w:val="28"/>
        </w:rPr>
      </w:pPr>
      <w:r w:rsidRPr="008F73B9">
        <w:rPr>
          <w:rFonts w:ascii="Arial" w:hAnsi="Arial" w:cs="Arial"/>
          <w:sz w:val="28"/>
          <w:szCs w:val="28"/>
        </w:rPr>
        <w:t xml:space="preserve">All of the sarcomeres in </w:t>
      </w:r>
      <w:r w:rsidR="008F73B9">
        <w:rPr>
          <w:rFonts w:ascii="Arial" w:hAnsi="Arial" w:cs="Arial"/>
          <w:sz w:val="28"/>
          <w:szCs w:val="28"/>
        </w:rPr>
        <w:t>a</w:t>
      </w:r>
      <w:r w:rsidR="00053C63" w:rsidRPr="008F73B9">
        <w:rPr>
          <w:rFonts w:ascii="Arial" w:hAnsi="Arial" w:cs="Arial"/>
          <w:sz w:val="28"/>
          <w:szCs w:val="28"/>
        </w:rPr>
        <w:t xml:space="preserve"> skeletal</w:t>
      </w:r>
      <w:r w:rsidRPr="008F73B9">
        <w:rPr>
          <w:rFonts w:ascii="Arial" w:hAnsi="Arial" w:cs="Arial"/>
          <w:sz w:val="28"/>
          <w:szCs w:val="28"/>
        </w:rPr>
        <w:t xml:space="preserve"> muscle fiber shorten simul</w:t>
      </w:r>
      <w:r w:rsidR="001442A7" w:rsidRPr="008F73B9">
        <w:rPr>
          <w:rFonts w:ascii="Arial" w:hAnsi="Arial" w:cs="Arial"/>
          <w:sz w:val="28"/>
          <w:szCs w:val="28"/>
        </w:rPr>
        <w:t xml:space="preserve">taneously, </w:t>
      </w:r>
      <w:r w:rsidR="00A3281C" w:rsidRPr="008F73B9">
        <w:rPr>
          <w:rFonts w:ascii="Arial" w:hAnsi="Arial" w:cs="Arial"/>
          <w:sz w:val="28"/>
          <w:szCs w:val="28"/>
        </w:rPr>
        <w:t>so that</w:t>
      </w:r>
      <w:r w:rsidR="001442A7" w:rsidRPr="008F73B9">
        <w:rPr>
          <w:rFonts w:ascii="Arial" w:hAnsi="Arial" w:cs="Arial"/>
          <w:sz w:val="28"/>
          <w:szCs w:val="28"/>
        </w:rPr>
        <w:t xml:space="preserve"> the </w:t>
      </w:r>
      <w:r w:rsidR="008F73B9">
        <w:rPr>
          <w:rFonts w:ascii="Arial" w:hAnsi="Arial" w:cs="Arial"/>
          <w:sz w:val="28"/>
          <w:szCs w:val="28"/>
        </w:rPr>
        <w:t xml:space="preserve">skeletal </w:t>
      </w:r>
      <w:r w:rsidR="001442A7" w:rsidRPr="008F73B9">
        <w:rPr>
          <w:rFonts w:ascii="Arial" w:hAnsi="Arial" w:cs="Arial"/>
          <w:sz w:val="28"/>
          <w:szCs w:val="28"/>
        </w:rPr>
        <w:t>muscle fiber contract</w:t>
      </w:r>
      <w:r w:rsidR="00A3281C" w:rsidRPr="008F73B9">
        <w:rPr>
          <w:rFonts w:ascii="Arial" w:hAnsi="Arial" w:cs="Arial"/>
          <w:sz w:val="28"/>
          <w:szCs w:val="28"/>
        </w:rPr>
        <w:t>s</w:t>
      </w:r>
      <w:r w:rsidR="001442A7" w:rsidRPr="008F73B9">
        <w:rPr>
          <w:rFonts w:ascii="Arial" w:hAnsi="Arial" w:cs="Arial"/>
          <w:sz w:val="28"/>
          <w:szCs w:val="28"/>
        </w:rPr>
        <w:t>.</w:t>
      </w:r>
    </w:p>
    <w:p w14:paraId="46D6ABC2" w14:textId="77777777" w:rsidR="005108DC" w:rsidRPr="001442A7" w:rsidRDefault="005108DC" w:rsidP="001442A7">
      <w:pPr>
        <w:spacing w:after="120"/>
        <w:rPr>
          <w:rFonts w:ascii="Arial" w:hAnsi="Arial" w:cs="Arial"/>
        </w:rPr>
      </w:pPr>
    </w:p>
    <w:sectPr w:rsidR="005108DC" w:rsidRPr="001442A7" w:rsidSect="00BE4CCF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FE839" w14:textId="77777777" w:rsidR="003F2702" w:rsidRDefault="003F2702" w:rsidP="00BE4CCF">
      <w:r>
        <w:separator/>
      </w:r>
    </w:p>
  </w:endnote>
  <w:endnote w:type="continuationSeparator" w:id="0">
    <w:p w14:paraId="19D46DE5" w14:textId="77777777" w:rsidR="003F2702" w:rsidRDefault="003F2702" w:rsidP="00BE4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24543843"/>
      <w:docPartObj>
        <w:docPartGallery w:val="Page Numbers (Bottom of Page)"/>
        <w:docPartUnique/>
      </w:docPartObj>
    </w:sdtPr>
    <w:sdtContent>
      <w:p w14:paraId="5D3D2E03" w14:textId="5E02DF25" w:rsidR="00BE4CCF" w:rsidRDefault="00BE4CCF" w:rsidP="00AE5A0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859EF46" w14:textId="77777777" w:rsidR="00BE4CCF" w:rsidRDefault="00BE4C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Arial" w:hAnsi="Arial" w:cs="Arial"/>
      </w:rPr>
      <w:id w:val="361325463"/>
      <w:docPartObj>
        <w:docPartGallery w:val="Page Numbers (Bottom of Page)"/>
        <w:docPartUnique/>
      </w:docPartObj>
    </w:sdtPr>
    <w:sdtContent>
      <w:p w14:paraId="392ED0CF" w14:textId="2553CD95" w:rsidR="00BE4CCF" w:rsidRPr="00BE4CCF" w:rsidRDefault="00BE4CCF" w:rsidP="00AE5A07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</w:rPr>
        </w:pPr>
        <w:r w:rsidRPr="00BE4CCF">
          <w:rPr>
            <w:rStyle w:val="PageNumber"/>
            <w:rFonts w:ascii="Arial" w:hAnsi="Arial" w:cs="Arial"/>
          </w:rPr>
          <w:fldChar w:fldCharType="begin"/>
        </w:r>
        <w:r w:rsidRPr="00BE4CCF">
          <w:rPr>
            <w:rStyle w:val="PageNumber"/>
            <w:rFonts w:ascii="Arial" w:hAnsi="Arial" w:cs="Arial"/>
          </w:rPr>
          <w:instrText xml:space="preserve"> PAGE </w:instrText>
        </w:r>
        <w:r w:rsidRPr="00BE4CCF">
          <w:rPr>
            <w:rStyle w:val="PageNumber"/>
            <w:rFonts w:ascii="Arial" w:hAnsi="Arial" w:cs="Arial"/>
          </w:rPr>
          <w:fldChar w:fldCharType="separate"/>
        </w:r>
        <w:r w:rsidRPr="00BE4CCF">
          <w:rPr>
            <w:rStyle w:val="PageNumber"/>
            <w:rFonts w:ascii="Arial" w:hAnsi="Arial" w:cs="Arial"/>
            <w:noProof/>
          </w:rPr>
          <w:t>2</w:t>
        </w:r>
        <w:r w:rsidRPr="00BE4CCF">
          <w:rPr>
            <w:rStyle w:val="PageNumber"/>
            <w:rFonts w:ascii="Arial" w:hAnsi="Arial" w:cs="Arial"/>
          </w:rPr>
          <w:fldChar w:fldCharType="end"/>
        </w:r>
      </w:p>
    </w:sdtContent>
  </w:sdt>
  <w:p w14:paraId="127BF9E7" w14:textId="77777777" w:rsidR="00BE4CCF" w:rsidRDefault="00BE4C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3D127" w14:textId="77777777" w:rsidR="003F2702" w:rsidRDefault="003F2702" w:rsidP="00BE4CCF">
      <w:r>
        <w:separator/>
      </w:r>
    </w:p>
  </w:footnote>
  <w:footnote w:type="continuationSeparator" w:id="0">
    <w:p w14:paraId="3EB0B4CC" w14:textId="77777777" w:rsidR="003F2702" w:rsidRDefault="003F2702" w:rsidP="00BE4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B518A"/>
    <w:multiLevelType w:val="hybridMultilevel"/>
    <w:tmpl w:val="B1F6BE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23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CD1"/>
    <w:rsid w:val="00053C63"/>
    <w:rsid w:val="001442A7"/>
    <w:rsid w:val="003E56BA"/>
    <w:rsid w:val="003F2702"/>
    <w:rsid w:val="00411F32"/>
    <w:rsid w:val="0049708E"/>
    <w:rsid w:val="005108DC"/>
    <w:rsid w:val="00513EA8"/>
    <w:rsid w:val="006932E4"/>
    <w:rsid w:val="008F73B9"/>
    <w:rsid w:val="00A3281C"/>
    <w:rsid w:val="00B20CD1"/>
    <w:rsid w:val="00BE4CCF"/>
    <w:rsid w:val="00C52789"/>
    <w:rsid w:val="00F1037B"/>
    <w:rsid w:val="00F11E71"/>
    <w:rsid w:val="00F7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9E174"/>
  <w15:chartTrackingRefBased/>
  <w15:docId w15:val="{5A9AF5CB-EDDD-124A-AF2B-19405309A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F3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E4C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4CCF"/>
  </w:style>
  <w:style w:type="character" w:styleId="PageNumber">
    <w:name w:val="page number"/>
    <w:basedOn w:val="DefaultParagraphFont"/>
    <w:uiPriority w:val="99"/>
    <w:semiHidden/>
    <w:unhideWhenUsed/>
    <w:rsid w:val="00BE4CCF"/>
  </w:style>
  <w:style w:type="paragraph" w:styleId="Header">
    <w:name w:val="header"/>
    <w:basedOn w:val="Normal"/>
    <w:link w:val="HeaderChar"/>
    <w:uiPriority w:val="99"/>
    <w:unhideWhenUsed/>
    <w:rsid w:val="00BE4C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4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2022-10-18T23:14:00Z</dcterms:created>
  <dcterms:modified xsi:type="dcterms:W3CDTF">2022-11-27T14:34:00Z</dcterms:modified>
</cp:coreProperties>
</file>